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312" w:afterLines="100"/>
        <w:jc w:val="center"/>
        <w:rPr>
          <w:rFonts w:hint="default" w:ascii="Times New Roman" w:hAnsi="Times New Roman" w:cs="Times New Roman"/>
          <w:b/>
          <w:sz w:val="36"/>
          <w:szCs w:val="36"/>
        </w:rPr>
      </w:pPr>
      <w:r>
        <w:rPr>
          <w:rFonts w:hint="eastAsia" w:ascii="Times New Roman" w:hAnsi="Times New Roman" w:cs="Times New Roman"/>
          <w:b/>
          <w:sz w:val="36"/>
          <w:szCs w:val="36"/>
          <w:lang w:eastAsia="zh-CN"/>
        </w:rPr>
        <w:t>可再循环材料用量</w:t>
      </w:r>
      <w:r>
        <w:rPr>
          <w:rFonts w:hint="default" w:ascii="Times New Roman" w:hAnsi="Times New Roman" w:cs="Times New Roman"/>
          <w:b/>
          <w:sz w:val="36"/>
          <w:szCs w:val="36"/>
        </w:rPr>
        <w:t>比例计算书</w:t>
      </w:r>
    </w:p>
    <w:p>
      <w:pPr>
        <w:spacing w:before="156" w:beforeLines="50" w:after="156" w:afterLines="50" w:line="360" w:lineRule="auto"/>
        <w:rPr>
          <w:rFonts w:hint="default" w:ascii="Times New Roman" w:hAnsi="Times New Roman" w:cs="Times New Roman"/>
          <w:sz w:val="24"/>
          <w:u w:val="single"/>
        </w:rPr>
      </w:pPr>
      <w:r>
        <w:rPr>
          <w:rFonts w:hint="default" w:ascii="Times New Roman" w:hAnsi="Times New Roman" w:cs="Times New Roman"/>
          <w:b/>
          <w:sz w:val="24"/>
        </w:rPr>
        <w:t>项目名称：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溪南中心小学新建教学楼工程      </w:t>
      </w:r>
      <w:r>
        <w:rPr>
          <w:rFonts w:hint="eastAsia" w:ascii="Times New Roman" w:hAnsi="Times New Roman" w:cs="Times New Roman"/>
          <w:b w:val="0"/>
          <w:bCs/>
          <w:sz w:val="24"/>
          <w:u w:val="single"/>
          <w:lang w:val="en-US" w:eastAsia="zh-CN"/>
        </w:rPr>
        <w:t xml:space="preserve">                         </w:t>
      </w:r>
    </w:p>
    <w:p>
      <w:pPr>
        <w:spacing w:before="156" w:beforeLines="50" w:after="156" w:afterLines="50" w:line="360" w:lineRule="auto"/>
        <w:rPr>
          <w:rFonts w:hint="default" w:ascii="Times New Roman" w:hAnsi="Times New Roman" w:cs="Times New Roman"/>
          <w:sz w:val="24"/>
          <w:u w:val="single"/>
        </w:rPr>
      </w:pPr>
      <w:r>
        <w:rPr>
          <w:rFonts w:hint="default" w:ascii="Times New Roman" w:hAnsi="Times New Roman" w:cs="Times New Roman"/>
          <w:b/>
          <w:sz w:val="24"/>
        </w:rPr>
        <w:t>说明内容：</w:t>
      </w:r>
      <w:r>
        <w:rPr>
          <w:rFonts w:hint="eastAsia" w:ascii="Times New Roman" w:hAnsi="Times New Roman" w:cs="Times New Roman"/>
          <w:sz w:val="24"/>
          <w:u w:val="single"/>
          <w:lang w:eastAsia="zh-CN"/>
        </w:rPr>
        <w:t>项目使用可再循环材料</w:t>
      </w:r>
      <w:r>
        <w:rPr>
          <w:rFonts w:hint="default" w:ascii="Times New Roman" w:hAnsi="Times New Roman" w:cs="Times New Roman"/>
          <w:sz w:val="24"/>
          <w:u w:val="single"/>
        </w:rPr>
        <w:t xml:space="preserve">          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                    </w:t>
      </w:r>
    </w:p>
    <w:p>
      <w:pPr>
        <w:spacing w:before="156" w:beforeLines="50" w:after="156" w:afterLines="50" w:line="360" w:lineRule="auto"/>
        <w:rPr>
          <w:rFonts w:hint="default" w:ascii="Times New Roman" w:hAnsi="Times New Roman" w:cs="Times New Roman"/>
          <w:sz w:val="24"/>
          <w:u w:val="single"/>
        </w:rPr>
      </w:pPr>
      <w:r>
        <w:rPr>
          <w:rFonts w:hint="default" w:ascii="Times New Roman" w:hAnsi="Times New Roman" w:cs="Times New Roman"/>
          <w:b/>
          <w:sz w:val="24"/>
        </w:rPr>
        <w:t>计算单位：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>广东新长安建筑设计院有限公司</w:t>
      </w:r>
      <w:r>
        <w:rPr>
          <w:rFonts w:hint="default" w:ascii="Times New Roman" w:hAnsi="Times New Roman" w:cs="Times New Roman"/>
          <w:sz w:val="24"/>
          <w:u w:val="single"/>
        </w:rPr>
        <w:t xml:space="preserve"> </w:t>
      </w:r>
      <w:r>
        <w:rPr>
          <w:rFonts w:hint="default" w:ascii="Times New Roman" w:hAnsi="Times New Roman" w:cs="Times New Roman"/>
          <w:kern w:val="0"/>
          <w:sz w:val="24"/>
          <w:u w:val="single"/>
        </w:rPr>
        <w:t xml:space="preserve">     </w:t>
      </w:r>
      <w:r>
        <w:rPr>
          <w:rFonts w:hint="default" w:ascii="Times New Roman" w:hAnsi="Times New Roman" w:cs="Times New Roman"/>
          <w:sz w:val="24"/>
          <w:u w:val="single"/>
        </w:rPr>
        <w:t xml:space="preserve">             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  <w:sz w:val="24"/>
          <w:u w:val="single"/>
        </w:rPr>
        <w:t xml:space="preserve">   </w:t>
      </w:r>
    </w:p>
    <w:p>
      <w:pPr>
        <w:spacing w:before="156" w:beforeLines="50" w:after="156" w:afterLines="50" w:line="360" w:lineRule="auto"/>
        <w:ind w:left="1205" w:hanging="1205" w:hangingChars="500"/>
        <w:rPr>
          <w:rFonts w:hint="default" w:ascii="Times New Roman" w:hAnsi="Times New Roman" w:cs="Times New Roman"/>
          <w:sz w:val="24"/>
          <w:u w:val="single"/>
          <w:lang w:val="en-US" w:eastAsia="zh-CN"/>
        </w:rPr>
      </w:pPr>
      <w:r>
        <w:rPr>
          <w:rFonts w:hint="default" w:ascii="Times New Roman" w:hAnsi="Times New Roman" w:cs="Times New Roman"/>
          <w:b/>
          <w:sz w:val="24"/>
        </w:rPr>
        <w:t>对应条款：</w:t>
      </w:r>
      <w:r>
        <w:rPr>
          <w:rFonts w:hint="default" w:ascii="Times New Roman" w:hAnsi="Times New Roman" w:cs="Times New Roman"/>
          <w:sz w:val="24"/>
          <w:u w:val="single"/>
        </w:rPr>
        <w:t>第7.2.1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>2</w:t>
      </w:r>
      <w:r>
        <w:rPr>
          <w:rFonts w:hint="default" w:ascii="Times New Roman" w:hAnsi="Times New Roman" w:cs="Times New Roman"/>
          <w:sz w:val="24"/>
          <w:u w:val="single"/>
        </w:rPr>
        <w:t>条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>可再利用材料和可再循环材料用量比例达10%以上。</w:t>
      </w:r>
      <w:r>
        <w:rPr>
          <w:rFonts w:hint="default" w:ascii="Times New Roman" w:hAnsi="Times New Roman" w:cs="Times New Roman"/>
          <w:sz w:val="24"/>
          <w:u w:val="single"/>
          <w:lang w:val="en-US" w:eastAsia="zh-CN"/>
        </w:rPr>
        <w:t xml:space="preserve"> </w:t>
      </w:r>
    </w:p>
    <w:p>
      <w:pPr>
        <w:pStyle w:val="7"/>
        <w:ind w:firstLine="480"/>
        <w:rPr>
          <w:rFonts w:hint="default" w:ascii="Times New Roman" w:hAnsi="Times New Roman" w:cs="Times New Roman"/>
          <w:caps/>
          <w:sz w:val="24"/>
        </w:rPr>
      </w:pPr>
      <w:r>
        <w:rPr>
          <w:rFonts w:hint="eastAsia"/>
        </w:rPr>
        <w:t>本项目位于</w:t>
      </w:r>
      <w:r>
        <w:rPr>
          <w:rFonts w:hint="eastAsia"/>
          <w:lang w:val="en-US" w:eastAsia="zh-CN"/>
        </w:rPr>
        <w:t>广东省汕头市澄海区</w:t>
      </w:r>
      <w:r>
        <w:rPr>
          <w:rStyle w:val="8"/>
          <w:rFonts w:hint="eastAsia"/>
          <w:sz w:val="24"/>
          <w:szCs w:val="24"/>
        </w:rPr>
        <w:t>，</w:t>
      </w:r>
      <w:r>
        <w:rPr>
          <w:rStyle w:val="8"/>
          <w:rFonts w:hint="eastAsia"/>
          <w:sz w:val="24"/>
          <w:szCs w:val="24"/>
          <w:lang w:val="en-US" w:eastAsia="zh-CN"/>
        </w:rPr>
        <w:t>项目属于学校建筑，</w:t>
      </w:r>
      <w:r>
        <w:rPr>
          <w:rStyle w:val="8"/>
          <w:rFonts w:hint="eastAsia"/>
          <w:sz w:val="24"/>
          <w:szCs w:val="24"/>
        </w:rPr>
        <w:t>项目总建筑面积</w:t>
      </w:r>
      <w:r>
        <w:rPr>
          <w:rStyle w:val="8"/>
          <w:rFonts w:hint="eastAsia"/>
          <w:sz w:val="24"/>
          <w:szCs w:val="24"/>
          <w:lang w:val="en-US" w:eastAsia="zh-CN"/>
        </w:rPr>
        <w:t>2248.55</w:t>
      </w:r>
      <w:r>
        <w:rPr>
          <w:rStyle w:val="8"/>
          <w:rFonts w:hint="eastAsia"/>
          <w:sz w:val="24"/>
          <w:szCs w:val="24"/>
        </w:rPr>
        <w:t>㎡，</w:t>
      </w:r>
      <w:r>
        <w:rPr>
          <w:rStyle w:val="8"/>
          <w:rFonts w:hint="eastAsia" w:eastAsia="宋体"/>
          <w:sz w:val="24"/>
          <w:szCs w:val="24"/>
          <w:lang w:eastAsia="zh-CN"/>
        </w:rPr>
        <w:t>规划总用地面积</w:t>
      </w:r>
      <w:r>
        <w:rPr>
          <w:rStyle w:val="8"/>
          <w:rFonts w:hint="eastAsia"/>
          <w:sz w:val="24"/>
          <w:szCs w:val="24"/>
          <w:lang w:val="en-US" w:eastAsia="zh-CN"/>
        </w:rPr>
        <w:t>11364.70</w:t>
      </w:r>
      <w:r>
        <w:rPr>
          <w:rStyle w:val="8"/>
          <w:rFonts w:hint="eastAsia"/>
          <w:sz w:val="24"/>
          <w:szCs w:val="24"/>
        </w:rPr>
        <w:t>㎡</w:t>
      </w:r>
      <w:r>
        <w:rPr>
          <w:rStyle w:val="8"/>
          <w:rFonts w:hint="eastAsia" w:eastAsia="宋体"/>
          <w:sz w:val="24"/>
          <w:szCs w:val="24"/>
          <w:lang w:eastAsia="zh-CN"/>
        </w:rPr>
        <w:t>，</w:t>
      </w:r>
      <w:r>
        <w:rPr>
          <w:rStyle w:val="8"/>
          <w:rFonts w:hint="eastAsia" w:eastAsia="宋体"/>
          <w:sz w:val="24"/>
          <w:szCs w:val="24"/>
          <w:lang w:val="en-US" w:eastAsia="zh-CN"/>
        </w:rPr>
        <w:t>地上</w:t>
      </w:r>
      <w:r>
        <w:rPr>
          <w:rStyle w:val="8"/>
          <w:rFonts w:hint="eastAsia"/>
          <w:sz w:val="24"/>
          <w:szCs w:val="24"/>
          <w:lang w:val="en-US" w:eastAsia="zh-CN"/>
        </w:rPr>
        <w:t>3</w:t>
      </w:r>
      <w:r>
        <w:rPr>
          <w:rStyle w:val="8"/>
          <w:rFonts w:hint="eastAsia" w:eastAsia="宋体"/>
          <w:sz w:val="24"/>
          <w:szCs w:val="24"/>
          <w:lang w:val="en-US" w:eastAsia="zh-CN"/>
        </w:rPr>
        <w:t>层</w:t>
      </w:r>
      <w:r>
        <w:rPr>
          <w:rStyle w:val="8"/>
          <w:rFonts w:hint="eastAsia"/>
          <w:sz w:val="24"/>
          <w:szCs w:val="24"/>
          <w:lang w:val="en-US" w:eastAsia="zh-CN"/>
        </w:rPr>
        <w:t>，建筑高度为13.15m</w:t>
      </w:r>
      <w:r>
        <w:rPr>
          <w:rStyle w:val="8"/>
          <w:rFonts w:hint="eastAsia" w:eastAsia="宋体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eastAsia" w:ascii="Times New Roman" w:hAnsi="Times New Roman" w:cs="Times New Roman"/>
          <w:b/>
          <w:sz w:val="28"/>
          <w:szCs w:val="28"/>
          <w:lang w:eastAsia="zh-CN"/>
        </w:rPr>
        <w:t>可再循环材料</w:t>
      </w:r>
      <w:r>
        <w:rPr>
          <w:rFonts w:hint="default" w:ascii="Times New Roman" w:hAnsi="Times New Roman" w:cs="Times New Roman"/>
          <w:b/>
          <w:sz w:val="28"/>
          <w:szCs w:val="28"/>
        </w:rPr>
        <w:t>计算：</w:t>
      </w:r>
    </w:p>
    <w:tbl>
      <w:tblPr>
        <w:tblStyle w:val="2"/>
        <w:tblW w:w="83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56"/>
        <w:gridCol w:w="1256"/>
        <w:gridCol w:w="1256"/>
        <w:gridCol w:w="1605"/>
        <w:gridCol w:w="1611"/>
        <w:gridCol w:w="13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2512" w:type="dxa"/>
            <w:gridSpan w:val="2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建筑材料种类</w:t>
            </w:r>
          </w:p>
        </w:tc>
        <w:tc>
          <w:tcPr>
            <w:tcW w:w="1256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160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工程量</w:t>
            </w:r>
          </w:p>
        </w:tc>
        <w:tc>
          <w:tcPr>
            <w:tcW w:w="16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密度</w:t>
            </w:r>
          </w:p>
        </w:tc>
        <w:tc>
          <w:tcPr>
            <w:tcW w:w="13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重量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2512" w:type="dxa"/>
            <w:gridSpan w:val="2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56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0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（kg/m3）</w:t>
            </w:r>
          </w:p>
        </w:tc>
        <w:tc>
          <w:tcPr>
            <w:tcW w:w="13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（t）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1256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不可循环材料</w:t>
            </w:r>
          </w:p>
        </w:tc>
        <w:tc>
          <w:tcPr>
            <w:tcW w:w="125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混凝土</w:t>
            </w:r>
          </w:p>
        </w:tc>
        <w:tc>
          <w:tcPr>
            <w:tcW w:w="125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hint="eastAsia" w:asciiTheme="majorEastAsia" w:hAnsiTheme="majorEastAsia" w:eastAsiaTheme="majorEastAsia" w:cstheme="majorEastAsia"/>
                <w:b w:val="0"/>
                <w:bCs w:val="0"/>
                <w:lang w:val="en-US" w:eastAsia="zh-CN" w:bidi="ar"/>
              </w:rPr>
              <w:t>m</w:t>
            </w:r>
            <w:r>
              <w:rPr>
                <w:rStyle w:val="6"/>
                <w:rFonts w:hint="eastAsia" w:asciiTheme="majorEastAsia" w:hAnsiTheme="majorEastAsia" w:eastAsiaTheme="majorEastAsia" w:cstheme="majorEastAsia"/>
                <w:b w:val="0"/>
                <w:bCs w:val="0"/>
                <w:lang w:val="en-US" w:eastAsia="zh-CN" w:bidi="ar"/>
              </w:rPr>
              <w:t>3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542.71</w:t>
            </w:r>
          </w:p>
        </w:tc>
        <w:tc>
          <w:tcPr>
            <w:tcW w:w="16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2500</w:t>
            </w:r>
          </w:p>
        </w:tc>
        <w:tc>
          <w:tcPr>
            <w:tcW w:w="13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1356.79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1256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建筑砂浆</w:t>
            </w:r>
          </w:p>
        </w:tc>
        <w:tc>
          <w:tcPr>
            <w:tcW w:w="125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hint="eastAsia" w:asciiTheme="majorEastAsia" w:hAnsiTheme="majorEastAsia" w:eastAsiaTheme="majorEastAsia" w:cstheme="majorEastAsia"/>
                <w:b w:val="0"/>
                <w:bCs w:val="0"/>
                <w:lang w:val="en-US" w:eastAsia="zh-CN" w:bidi="ar"/>
              </w:rPr>
              <w:t>m</w:t>
            </w:r>
            <w:r>
              <w:rPr>
                <w:rStyle w:val="6"/>
                <w:rFonts w:hint="eastAsia" w:asciiTheme="majorEastAsia" w:hAnsiTheme="majorEastAsia" w:eastAsiaTheme="majorEastAsia" w:cstheme="majorEastAsia"/>
                <w:b w:val="0"/>
                <w:bCs w:val="0"/>
                <w:lang w:val="en-US" w:eastAsia="zh-CN" w:bidi="ar"/>
              </w:rPr>
              <w:t>3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43.11</w:t>
            </w:r>
          </w:p>
        </w:tc>
        <w:tc>
          <w:tcPr>
            <w:tcW w:w="16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1800</w:t>
            </w:r>
          </w:p>
        </w:tc>
        <w:tc>
          <w:tcPr>
            <w:tcW w:w="13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1256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乳胶漆</w:t>
            </w:r>
          </w:p>
        </w:tc>
        <w:tc>
          <w:tcPr>
            <w:tcW w:w="125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hint="eastAsia" w:asciiTheme="majorEastAsia" w:hAnsiTheme="majorEastAsia" w:eastAsiaTheme="majorEastAsia" w:cstheme="majorEastAsia"/>
                <w:b w:val="0"/>
                <w:bCs w:val="0"/>
                <w:lang w:val="en-US" w:eastAsia="zh-CN" w:bidi="ar"/>
              </w:rPr>
              <w:t>m</w:t>
            </w:r>
            <w:r>
              <w:rPr>
                <w:rStyle w:val="6"/>
                <w:rFonts w:hint="eastAsia" w:asciiTheme="majorEastAsia" w:hAnsiTheme="majorEastAsia" w:eastAsiaTheme="majorEastAsia" w:cstheme="majorEastAsia"/>
                <w:b w:val="0"/>
                <w:bCs w:val="0"/>
                <w:lang w:val="en-US" w:eastAsia="zh-CN" w:bidi="ar"/>
              </w:rPr>
              <w:t>3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1.07</w:t>
            </w:r>
          </w:p>
        </w:tc>
        <w:tc>
          <w:tcPr>
            <w:tcW w:w="16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1200</w:t>
            </w:r>
          </w:p>
        </w:tc>
        <w:tc>
          <w:tcPr>
            <w:tcW w:w="13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1256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屋面卷材</w:t>
            </w:r>
          </w:p>
        </w:tc>
        <w:tc>
          <w:tcPr>
            <w:tcW w:w="125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hint="eastAsia" w:asciiTheme="majorEastAsia" w:hAnsiTheme="majorEastAsia" w:eastAsiaTheme="majorEastAsia" w:cstheme="majorEastAsia"/>
                <w:b w:val="0"/>
                <w:bCs w:val="0"/>
                <w:lang w:val="en-US" w:eastAsia="zh-CN" w:bidi="ar"/>
              </w:rPr>
              <w:t>m</w:t>
            </w:r>
            <w:r>
              <w:rPr>
                <w:rStyle w:val="6"/>
                <w:rFonts w:hint="eastAsia" w:asciiTheme="majorEastAsia" w:hAnsiTheme="majorEastAsia" w:eastAsiaTheme="majorEastAsia" w:cstheme="majorEastAsia"/>
                <w:b w:val="0"/>
                <w:bCs w:val="0"/>
                <w:lang w:val="en-US" w:eastAsia="zh-CN" w:bidi="ar"/>
              </w:rPr>
              <w:t>3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0.11</w:t>
            </w:r>
          </w:p>
        </w:tc>
        <w:tc>
          <w:tcPr>
            <w:tcW w:w="16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</w:t>
            </w:r>
          </w:p>
        </w:tc>
        <w:tc>
          <w:tcPr>
            <w:tcW w:w="13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1256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石材</w:t>
            </w:r>
          </w:p>
        </w:tc>
        <w:tc>
          <w:tcPr>
            <w:tcW w:w="125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hint="eastAsia" w:asciiTheme="majorEastAsia" w:hAnsiTheme="majorEastAsia" w:eastAsiaTheme="majorEastAsia" w:cstheme="majorEastAsia"/>
                <w:b w:val="0"/>
                <w:bCs w:val="0"/>
                <w:lang w:val="en-US" w:eastAsia="zh-CN" w:bidi="ar"/>
              </w:rPr>
              <w:t>m</w:t>
            </w:r>
            <w:r>
              <w:rPr>
                <w:rStyle w:val="6"/>
                <w:rFonts w:hint="eastAsia" w:asciiTheme="majorEastAsia" w:hAnsiTheme="majorEastAsia" w:eastAsiaTheme="majorEastAsia" w:cstheme="majorEastAsia"/>
                <w:b w:val="0"/>
                <w:bCs w:val="0"/>
                <w:lang w:val="en-US" w:eastAsia="zh-CN" w:bidi="ar"/>
              </w:rPr>
              <w:t>3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</w:t>
            </w:r>
          </w:p>
        </w:tc>
        <w:tc>
          <w:tcPr>
            <w:tcW w:w="16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2800</w:t>
            </w:r>
          </w:p>
        </w:tc>
        <w:tc>
          <w:tcPr>
            <w:tcW w:w="13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1256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砌块</w:t>
            </w:r>
          </w:p>
        </w:tc>
        <w:tc>
          <w:tcPr>
            <w:tcW w:w="125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hint="eastAsia" w:asciiTheme="majorEastAsia" w:hAnsiTheme="majorEastAsia" w:eastAsiaTheme="majorEastAsia" w:cstheme="majorEastAsia"/>
                <w:b w:val="0"/>
                <w:bCs w:val="0"/>
                <w:lang w:val="en-US" w:eastAsia="zh-CN" w:bidi="ar"/>
              </w:rPr>
              <w:t>m</w:t>
            </w:r>
            <w:r>
              <w:rPr>
                <w:rStyle w:val="6"/>
                <w:rFonts w:hint="eastAsia" w:asciiTheme="majorEastAsia" w:hAnsiTheme="majorEastAsia" w:eastAsiaTheme="majorEastAsia" w:cstheme="majorEastAsia"/>
                <w:b w:val="0"/>
                <w:bCs w:val="0"/>
                <w:lang w:val="en-US" w:eastAsia="zh-CN" w:bidi="ar"/>
              </w:rPr>
              <w:t>3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172.59</w:t>
            </w:r>
          </w:p>
        </w:tc>
        <w:tc>
          <w:tcPr>
            <w:tcW w:w="16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</w:t>
            </w:r>
          </w:p>
        </w:tc>
        <w:tc>
          <w:tcPr>
            <w:tcW w:w="13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120.81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3768" w:type="dxa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1556.59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1256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可循环材料</w:t>
            </w:r>
          </w:p>
        </w:tc>
        <w:tc>
          <w:tcPr>
            <w:tcW w:w="125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钢材</w:t>
            </w:r>
          </w:p>
        </w:tc>
        <w:tc>
          <w:tcPr>
            <w:tcW w:w="125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165.96</w:t>
            </w:r>
          </w:p>
        </w:tc>
        <w:tc>
          <w:tcPr>
            <w:tcW w:w="16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7850</w:t>
            </w:r>
          </w:p>
        </w:tc>
        <w:tc>
          <w:tcPr>
            <w:tcW w:w="13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165.96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1256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铜</w:t>
            </w:r>
          </w:p>
        </w:tc>
        <w:tc>
          <w:tcPr>
            <w:tcW w:w="125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</w:t>
            </w:r>
          </w:p>
        </w:tc>
        <w:tc>
          <w:tcPr>
            <w:tcW w:w="16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8000</w:t>
            </w:r>
          </w:p>
        </w:tc>
        <w:tc>
          <w:tcPr>
            <w:tcW w:w="13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1256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木材</w:t>
            </w:r>
          </w:p>
        </w:tc>
        <w:tc>
          <w:tcPr>
            <w:tcW w:w="125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hint="eastAsia" w:asciiTheme="majorEastAsia" w:hAnsiTheme="majorEastAsia" w:eastAsiaTheme="majorEastAsia" w:cstheme="majorEastAsia"/>
                <w:b w:val="0"/>
                <w:bCs w:val="0"/>
                <w:lang w:val="en-US" w:eastAsia="zh-CN" w:bidi="ar"/>
              </w:rPr>
              <w:t>m</w:t>
            </w:r>
            <w:r>
              <w:rPr>
                <w:rStyle w:val="6"/>
                <w:rFonts w:hint="eastAsia" w:asciiTheme="majorEastAsia" w:hAnsiTheme="majorEastAsia" w:eastAsiaTheme="majorEastAsia" w:cstheme="majorEastAsia"/>
                <w:b w:val="0"/>
                <w:bCs w:val="0"/>
                <w:lang w:val="en-US" w:eastAsia="zh-CN" w:bidi="ar"/>
              </w:rPr>
              <w:t>3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0.31</w:t>
            </w:r>
          </w:p>
        </w:tc>
        <w:tc>
          <w:tcPr>
            <w:tcW w:w="16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</w:t>
            </w:r>
          </w:p>
        </w:tc>
        <w:tc>
          <w:tcPr>
            <w:tcW w:w="13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1256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铝合金型材</w:t>
            </w:r>
          </w:p>
        </w:tc>
        <w:tc>
          <w:tcPr>
            <w:tcW w:w="125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</w:t>
            </w:r>
          </w:p>
        </w:tc>
        <w:tc>
          <w:tcPr>
            <w:tcW w:w="16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2800</w:t>
            </w:r>
          </w:p>
        </w:tc>
        <w:tc>
          <w:tcPr>
            <w:tcW w:w="13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1256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石膏制品</w:t>
            </w:r>
          </w:p>
        </w:tc>
        <w:tc>
          <w:tcPr>
            <w:tcW w:w="125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hint="eastAsia" w:asciiTheme="majorEastAsia" w:hAnsiTheme="majorEastAsia" w:eastAsiaTheme="majorEastAsia" w:cstheme="majorEastAsia"/>
                <w:b w:val="0"/>
                <w:bCs w:val="0"/>
                <w:lang w:val="en-US" w:eastAsia="zh-CN" w:bidi="ar"/>
              </w:rPr>
              <w:t>m</w:t>
            </w:r>
            <w:r>
              <w:rPr>
                <w:rStyle w:val="6"/>
                <w:rFonts w:hint="eastAsia" w:asciiTheme="majorEastAsia" w:hAnsiTheme="majorEastAsia" w:eastAsiaTheme="majorEastAsia" w:cstheme="majorEastAsia"/>
                <w:b w:val="0"/>
                <w:bCs w:val="0"/>
                <w:lang w:val="en-US" w:eastAsia="zh-CN" w:bidi="ar"/>
              </w:rPr>
              <w:t>3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</w:t>
            </w:r>
          </w:p>
        </w:tc>
        <w:tc>
          <w:tcPr>
            <w:tcW w:w="16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</w:t>
            </w:r>
          </w:p>
        </w:tc>
        <w:tc>
          <w:tcPr>
            <w:tcW w:w="13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1256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门窗玻璃</w:t>
            </w:r>
          </w:p>
        </w:tc>
        <w:tc>
          <w:tcPr>
            <w:tcW w:w="125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21.32</w:t>
            </w:r>
          </w:p>
        </w:tc>
        <w:tc>
          <w:tcPr>
            <w:tcW w:w="16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2500</w:t>
            </w:r>
            <w:bookmarkStart w:id="0" w:name="_GoBack"/>
            <w:bookmarkEnd w:id="0"/>
          </w:p>
        </w:tc>
        <w:tc>
          <w:tcPr>
            <w:tcW w:w="13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21.32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3768" w:type="dxa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</w:t>
            </w:r>
          </w:p>
        </w:tc>
        <w:tc>
          <w:tcPr>
            <w:tcW w:w="3216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187.59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3768" w:type="dxa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可再循环材料利用率（%）</w:t>
            </w:r>
          </w:p>
        </w:tc>
        <w:tc>
          <w:tcPr>
            <w:tcW w:w="3216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10.75%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eastAsia" w:ascii="Times New Roman" w:hAnsi="Times New Roman" w:cs="Times New Roman"/>
          <w:b/>
          <w:sz w:val="28"/>
          <w:szCs w:val="28"/>
          <w:lang w:eastAsia="zh-CN"/>
        </w:rPr>
        <w:t>二</w:t>
      </w:r>
      <w:r>
        <w:rPr>
          <w:rFonts w:hint="default" w:ascii="Times New Roman" w:hAnsi="Times New Roman" w:cs="Times New Roman"/>
          <w:b/>
          <w:sz w:val="28"/>
          <w:szCs w:val="28"/>
        </w:rPr>
        <w:t>、达标判断</w:t>
      </w:r>
    </w:p>
    <w:p>
      <w:pPr>
        <w:pStyle w:val="4"/>
        <w:spacing w:line="360" w:lineRule="auto"/>
        <w:ind w:firstLine="480" w:firstLineChars="0"/>
        <w:jc w:val="left"/>
        <w:rPr>
          <w:rFonts w:hint="eastAsia" w:ascii="Times New Roman" w:hAnsi="Times New Roman" w:cs="Times New Roman"/>
          <w:sz w:val="24"/>
          <w:szCs w:val="22"/>
        </w:rPr>
      </w:pPr>
      <w:r>
        <w:rPr>
          <w:rFonts w:hint="default" w:ascii="Times New Roman" w:hAnsi="Times New Roman" w:cs="Times New Roman"/>
          <w:sz w:val="24"/>
        </w:rPr>
        <w:t>本项目满足《绿色建筑评价标准》GB/T 50378-2014第7.2.</w:t>
      </w:r>
      <w:r>
        <w:rPr>
          <w:rFonts w:hint="eastAsia" w:ascii="Times New Roman" w:hAnsi="Times New Roman" w:cs="Times New Roman"/>
          <w:sz w:val="24"/>
          <w:lang w:val="en-US" w:eastAsia="zh-CN"/>
        </w:rPr>
        <w:t>12</w:t>
      </w:r>
      <w:r>
        <w:rPr>
          <w:rFonts w:hint="default" w:ascii="Times New Roman" w:hAnsi="Times New Roman" w:cs="Times New Roman"/>
          <w:sz w:val="24"/>
          <w:szCs w:val="22"/>
        </w:rPr>
        <w:t>条</w:t>
      </w:r>
      <w:r>
        <w:rPr>
          <w:rFonts w:hint="eastAsia" w:ascii="Times New Roman" w:hAnsi="Times New Roman" w:cs="Times New Roman"/>
          <w:sz w:val="24"/>
          <w:szCs w:val="22"/>
        </w:rPr>
        <w:t>可再利用材料和可再循环材料用量比例达</w:t>
      </w:r>
      <w:r>
        <w:rPr>
          <w:rFonts w:hint="eastAsia" w:ascii="Times New Roman" w:hAnsi="Times New Roman" w:cs="Times New Roman"/>
          <w:sz w:val="24"/>
          <w:szCs w:val="22"/>
          <w:lang w:val="en-US" w:eastAsia="zh-CN"/>
        </w:rPr>
        <w:t>10</w:t>
      </w:r>
      <w:r>
        <w:rPr>
          <w:rFonts w:hint="eastAsia" w:ascii="Times New Roman" w:hAnsi="Times New Roman" w:cs="Times New Roman"/>
          <w:sz w:val="24"/>
          <w:szCs w:val="22"/>
        </w:rPr>
        <w:t>%以上</w:t>
      </w:r>
      <w:r>
        <w:rPr>
          <w:rFonts w:hint="eastAsia" w:ascii="Times New Roman" w:hAnsi="Times New Roman" w:cs="Times New Roman"/>
          <w:sz w:val="24"/>
          <w:szCs w:val="22"/>
          <w:lang w:eastAsia="zh-CN"/>
        </w:rPr>
        <w:t>的要求，可按标准得分。</w:t>
      </w:r>
    </w:p>
    <w:p>
      <w:pPr>
        <w:pStyle w:val="4"/>
        <w:spacing w:line="360" w:lineRule="auto"/>
        <w:ind w:firstLine="480" w:firstLineChars="0"/>
        <w:jc w:val="left"/>
        <w:rPr>
          <w:rFonts w:hint="default" w:ascii="Times New Roman" w:hAnsi="Times New Roman" w:cs="Times New Roman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F86CE2"/>
    <w:multiLevelType w:val="singleLevel"/>
    <w:tmpl w:val="59F86CE2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50714F"/>
    <w:rsid w:val="07810AB1"/>
    <w:rsid w:val="0B772C6B"/>
    <w:rsid w:val="0DF46EDB"/>
    <w:rsid w:val="1D44247D"/>
    <w:rsid w:val="227B2161"/>
    <w:rsid w:val="233C0898"/>
    <w:rsid w:val="241D086A"/>
    <w:rsid w:val="251643BC"/>
    <w:rsid w:val="28C04912"/>
    <w:rsid w:val="29FE46AD"/>
    <w:rsid w:val="2C7D48CF"/>
    <w:rsid w:val="2CCD18D5"/>
    <w:rsid w:val="2EF76D1C"/>
    <w:rsid w:val="3056470A"/>
    <w:rsid w:val="375B24B7"/>
    <w:rsid w:val="3D43428C"/>
    <w:rsid w:val="3E50714F"/>
    <w:rsid w:val="411339D4"/>
    <w:rsid w:val="4630032A"/>
    <w:rsid w:val="472D3F24"/>
    <w:rsid w:val="4CD225EB"/>
    <w:rsid w:val="4F1A3C91"/>
    <w:rsid w:val="51042DFD"/>
    <w:rsid w:val="5ABD6E71"/>
    <w:rsid w:val="5F3F06F3"/>
    <w:rsid w:val="68FC7418"/>
    <w:rsid w:val="6D470A5D"/>
    <w:rsid w:val="6E08520E"/>
    <w:rsid w:val="78DC5B9F"/>
    <w:rsid w:val="79A55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_Style 1"/>
    <w:basedOn w:val="1"/>
    <w:qFormat/>
    <w:uiPriority w:val="99"/>
    <w:pPr>
      <w:ind w:firstLine="420" w:firstLineChars="200"/>
    </w:pPr>
  </w:style>
  <w:style w:type="character" w:customStyle="1" w:styleId="5">
    <w:name w:val="font31"/>
    <w:basedOn w:val="3"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6">
    <w:name w:val="font11"/>
    <w:basedOn w:val="3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  <w:vertAlign w:val="superscript"/>
    </w:rPr>
  </w:style>
  <w:style w:type="paragraph" w:customStyle="1" w:styleId="7">
    <w:name w:val="lj正文"/>
    <w:qFormat/>
    <w:uiPriority w:val="0"/>
    <w:pPr>
      <w:spacing w:line="360" w:lineRule="auto"/>
      <w:ind w:firstLine="200" w:firstLineChars="200"/>
    </w:pPr>
    <w:rPr>
      <w:rFonts w:ascii="宋体" w:hAnsi="宋体" w:eastAsia="宋体" w:cs="Times New Roman"/>
      <w:color w:val="000000"/>
      <w:sz w:val="24"/>
      <w:szCs w:val="24"/>
      <w:shd w:val="clear" w:color="auto" w:fill="FFFFFF"/>
      <w:lang w:val="en-US" w:eastAsia="zh-CN" w:bidi="ar-SA"/>
    </w:rPr>
  </w:style>
  <w:style w:type="character" w:customStyle="1" w:styleId="8">
    <w:name w:val="Font Style51"/>
    <w:uiPriority w:val="0"/>
    <w:rPr>
      <w:rFonts w:ascii="宋体" w:eastAsia="宋体" w:cs="宋体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484</Words>
  <Characters>660</Characters>
  <Lines>0</Lines>
  <Paragraphs>0</Paragraphs>
  <TotalTime>1</TotalTime>
  <ScaleCrop>false</ScaleCrop>
  <LinksUpToDate>false</LinksUpToDate>
  <CharactersWithSpaces>713</CharactersWithSpaces>
  <Application>WPS Office_11.1.0.8806_F1E327BC-269C-435d-A152-05C5408002CA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2017-08-28T01:53:00Z</dcterms:created>
  <dc:creator>DELL</dc:creator>
  <cp:lastModifiedBy>_ 李漂亮 _</cp:lastModifiedBy>
  <dcterms:modified xsi:type="dcterms:W3CDTF">2019-06-29T12:25:39Z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